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FC05E" w14:textId="5ED39C0E" w:rsidR="00041FFC" w:rsidRDefault="00041FFC">
      <w:bookmarkStart w:id="0" w:name="_Hlk80024184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716B0FB" wp14:editId="4D167240">
            <wp:simplePos x="0" y="0"/>
            <wp:positionH relativeFrom="margin">
              <wp:posOffset>-190500</wp:posOffset>
            </wp:positionH>
            <wp:positionV relativeFrom="paragraph">
              <wp:posOffset>-241300</wp:posOffset>
            </wp:positionV>
            <wp:extent cx="6294120" cy="1799859"/>
            <wp:effectExtent l="0" t="0" r="0" b="0"/>
            <wp:wrapNone/>
            <wp:docPr id="2" name="Picture 2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3166274722494941737_x0000_i1026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1799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68288" w14:textId="77777777" w:rsidR="00041FFC" w:rsidRDefault="00041FFC"/>
    <w:p w14:paraId="55D01584" w14:textId="77777777" w:rsidR="00041FFC" w:rsidRDefault="00041FFC"/>
    <w:p w14:paraId="7D174603" w14:textId="77777777" w:rsidR="00041FFC" w:rsidRDefault="00041FFC"/>
    <w:p w14:paraId="6D2E79E1" w14:textId="77777777" w:rsidR="00041FFC" w:rsidRDefault="00041FFC"/>
    <w:p w14:paraId="7C5DF178" w14:textId="7129D71D" w:rsidR="00F27099" w:rsidRDefault="00C201BE">
      <w:r>
        <w:t>To:</w:t>
      </w:r>
      <w:r>
        <w:tab/>
        <w:t>FWEA Utility Council</w:t>
      </w:r>
    </w:p>
    <w:p w14:paraId="344F4098" w14:textId="535AC5C2" w:rsidR="00C201BE" w:rsidRDefault="00C201BE">
      <w:r>
        <w:t>From:</w:t>
      </w:r>
      <w:r>
        <w:tab/>
        <w:t>David Childs</w:t>
      </w:r>
    </w:p>
    <w:p w14:paraId="21E0ABCF" w14:textId="0D17A45E" w:rsidR="00C201BE" w:rsidRDefault="00C201BE">
      <w:r>
        <w:t>Re:</w:t>
      </w:r>
      <w:r>
        <w:tab/>
      </w:r>
      <w:r w:rsidR="00041FFC">
        <w:t xml:space="preserve">State </w:t>
      </w:r>
      <w:r>
        <w:t xml:space="preserve">Legislation Would Require </w:t>
      </w:r>
      <w:r w:rsidR="00041FFC">
        <w:t xml:space="preserve">Utilities to </w:t>
      </w:r>
      <w:r>
        <w:t>Test</w:t>
      </w:r>
      <w:r w:rsidR="00041FFC" w:rsidRPr="00041FFC">
        <w:t xml:space="preserve"> </w:t>
      </w:r>
      <w:r w:rsidR="00041FFC">
        <w:t>Their Biosolids for PFAS</w:t>
      </w:r>
    </w:p>
    <w:p w14:paraId="519F9F9B" w14:textId="432BF1EC" w:rsidR="00C201BE" w:rsidRDefault="00C201BE">
      <w:pPr>
        <w:pBdr>
          <w:bottom w:val="single" w:sz="6" w:space="1" w:color="auto"/>
        </w:pBdr>
      </w:pPr>
      <w:r>
        <w:t>Date:</w:t>
      </w:r>
      <w:r>
        <w:tab/>
        <w:t>January 7, 2026</w:t>
      </w:r>
    </w:p>
    <w:p w14:paraId="72D23A26" w14:textId="0CE8EE85" w:rsidR="00C201BE" w:rsidRDefault="00C201BE">
      <w:hyperlink r:id="rId7" w:history="1">
        <w:r w:rsidRPr="00041FFC">
          <w:rPr>
            <w:rStyle w:val="Hyperlink"/>
          </w:rPr>
          <w:t>House Bill 1019</w:t>
        </w:r>
      </w:hyperlink>
      <w:r w:rsidRPr="00C201BE">
        <w:t xml:space="preserve"> </w:t>
      </w:r>
      <w:r>
        <w:t xml:space="preserve">(by Rep. Conerly) </w:t>
      </w:r>
      <w:r w:rsidRPr="00C201BE">
        <w:t xml:space="preserve">and </w:t>
      </w:r>
      <w:hyperlink r:id="rId8" w:history="1">
        <w:r w:rsidRPr="00041FFC">
          <w:rPr>
            <w:rStyle w:val="Hyperlink"/>
          </w:rPr>
          <w:t>Senate Bill 1230</w:t>
        </w:r>
      </w:hyperlink>
      <w:r>
        <w:t xml:space="preserve"> (by Sen. Harrell)</w:t>
      </w:r>
      <w:r w:rsidRPr="00C201BE">
        <w:t xml:space="preserve">, both titled </w:t>
      </w:r>
      <w:r w:rsidRPr="00C201BE">
        <w:rPr>
          <w:i/>
          <w:iCs/>
        </w:rPr>
        <w:t>Perfluoroalkyl and Polyfluoroalkyl Substances</w:t>
      </w:r>
      <w:r w:rsidRPr="00C201BE">
        <w:t xml:space="preserve">, were filed </w:t>
      </w:r>
      <w:r>
        <w:t>this week ahead of the</w:t>
      </w:r>
      <w:r w:rsidRPr="00C201BE">
        <w:t xml:space="preserve"> 2026 </w:t>
      </w:r>
      <w:r>
        <w:t>Florida L</w:t>
      </w:r>
      <w:r w:rsidRPr="00C201BE">
        <w:t xml:space="preserve">egislative </w:t>
      </w:r>
      <w:r>
        <w:t>S</w:t>
      </w:r>
      <w:r w:rsidRPr="00C201BE">
        <w:t xml:space="preserve">ession. These bills are identical companion measures addressing environmental and public health concerns related to perfluoroalkyl and polyfluoroalkyl substances (commonly referred to as </w:t>
      </w:r>
      <w:r w:rsidRPr="00C201BE">
        <w:rPr>
          <w:i/>
          <w:iCs/>
        </w:rPr>
        <w:t>PFAS</w:t>
      </w:r>
      <w:r w:rsidRPr="00C201BE">
        <w:t>).</w:t>
      </w:r>
    </w:p>
    <w:p w14:paraId="28E3D3F5" w14:textId="2A6E161F" w:rsidR="00C201BE" w:rsidRDefault="00C201BE" w:rsidP="00C201BE">
      <w:r>
        <w:t>Specifically, the legislation:</w:t>
      </w:r>
    </w:p>
    <w:p w14:paraId="5A32EEE9" w14:textId="5ACCD77D" w:rsidR="00097115" w:rsidRDefault="00C201BE" w:rsidP="00097115">
      <w:pPr>
        <w:numPr>
          <w:ilvl w:val="0"/>
          <w:numId w:val="1"/>
        </w:numPr>
      </w:pPr>
      <w:r w:rsidRPr="00C201BE">
        <w:t xml:space="preserve">Prohibits, beginning on future </w:t>
      </w:r>
      <w:r w:rsidR="00041FFC" w:rsidRPr="00C201BE">
        <w:t xml:space="preserve">staggered </w:t>
      </w:r>
      <w:r w:rsidRPr="00C201BE">
        <w:t xml:space="preserve">dates, the </w:t>
      </w:r>
      <w:r w:rsidRPr="00C201BE">
        <w:rPr>
          <w:i/>
          <w:iCs/>
        </w:rPr>
        <w:t>use</w:t>
      </w:r>
      <w:r w:rsidRPr="00C201BE">
        <w:t xml:space="preserve">, </w:t>
      </w:r>
      <w:r w:rsidRPr="00C201BE">
        <w:rPr>
          <w:i/>
          <w:iCs/>
        </w:rPr>
        <w:t>sale</w:t>
      </w:r>
      <w:r w:rsidRPr="00C201BE">
        <w:t xml:space="preserve">, </w:t>
      </w:r>
      <w:r w:rsidRPr="00C201BE">
        <w:rPr>
          <w:i/>
          <w:iCs/>
        </w:rPr>
        <w:t>purchase</w:t>
      </w:r>
      <w:r w:rsidRPr="00C201BE">
        <w:t xml:space="preserve">, </w:t>
      </w:r>
      <w:r w:rsidRPr="00C201BE">
        <w:rPr>
          <w:i/>
          <w:iCs/>
        </w:rPr>
        <w:t>distribution</w:t>
      </w:r>
      <w:r w:rsidRPr="00C201BE">
        <w:t xml:space="preserve">, </w:t>
      </w:r>
      <w:r w:rsidRPr="00C201BE">
        <w:rPr>
          <w:i/>
          <w:iCs/>
        </w:rPr>
        <w:t>possession</w:t>
      </w:r>
      <w:r w:rsidRPr="00C201BE">
        <w:t xml:space="preserve">, and </w:t>
      </w:r>
      <w:r w:rsidRPr="00C201BE">
        <w:rPr>
          <w:i/>
          <w:iCs/>
        </w:rPr>
        <w:t>use</w:t>
      </w:r>
      <w:r w:rsidRPr="00C201BE">
        <w:t xml:space="preserve"> of aqueous film-forming </w:t>
      </w:r>
      <w:proofErr w:type="gramStart"/>
      <w:r w:rsidRPr="00C201BE">
        <w:t>foam</w:t>
      </w:r>
      <w:proofErr w:type="gramEnd"/>
      <w:r w:rsidRPr="00C201BE">
        <w:t xml:space="preserve"> containing PFAS</w:t>
      </w:r>
      <w:r w:rsidR="00097115">
        <w:t>, as defined in the legislation</w:t>
      </w:r>
      <w:r w:rsidRPr="00C201BE">
        <w:t xml:space="preserve">. </w:t>
      </w:r>
    </w:p>
    <w:p w14:paraId="0F9B98FB" w14:textId="1A292767" w:rsidR="00C201BE" w:rsidRPr="00C201BE" w:rsidRDefault="00097115" w:rsidP="00097115">
      <w:pPr>
        <w:numPr>
          <w:ilvl w:val="0"/>
          <w:numId w:val="1"/>
        </w:numPr>
      </w:pPr>
      <w:r>
        <w:t>Requires</w:t>
      </w:r>
      <w:r w:rsidRPr="00C201BE">
        <w:t xml:space="preserve"> the </w:t>
      </w:r>
      <w:r>
        <w:t xml:space="preserve">Florida </w:t>
      </w:r>
      <w:r w:rsidRPr="00C201BE">
        <w:t xml:space="preserve">Department of Environmental Protection </w:t>
      </w:r>
      <w:r>
        <w:t xml:space="preserve">(FDEP) </w:t>
      </w:r>
      <w:r w:rsidRPr="00C201BE">
        <w:t>to develop disposal rules, maintain a registry of foam alternatives, and offer technical and financial assistance.</w:t>
      </w:r>
    </w:p>
    <w:p w14:paraId="5F4885CF" w14:textId="052B8029" w:rsidR="00C201BE" w:rsidRDefault="00C201BE" w:rsidP="00C201BE">
      <w:pPr>
        <w:numPr>
          <w:ilvl w:val="0"/>
          <w:numId w:val="2"/>
        </w:numPr>
      </w:pPr>
      <w:r w:rsidRPr="00C201BE">
        <w:t xml:space="preserve">Establishes new monitoring requirements for </w:t>
      </w:r>
      <w:r w:rsidR="00097115">
        <w:t>“</w:t>
      </w:r>
      <w:r w:rsidR="00097115" w:rsidRPr="00097115">
        <w:t>public entities disposing of domestic wastewater biosolids that have a designed average daily flow of 25,000 or more gallons per day</w:t>
      </w:r>
      <w:r w:rsidRPr="00C201BE">
        <w:t>;</w:t>
      </w:r>
      <w:r w:rsidR="00097115">
        <w:t>”</w:t>
      </w:r>
      <w:r w:rsidRPr="00C201BE">
        <w:t xml:space="preserve"> these entities would be required to conduct annual PFAS sampling and submit results to the relevant state department.</w:t>
      </w:r>
    </w:p>
    <w:p w14:paraId="2C4110B3" w14:textId="658D530B" w:rsidR="00041FFC" w:rsidRDefault="00097115" w:rsidP="00097115">
      <w:r>
        <w:t xml:space="preserve">Notably, the biosolids monitoring requirement does </w:t>
      </w:r>
      <w:r w:rsidRPr="00041FFC">
        <w:rPr>
          <w:u w:val="single"/>
        </w:rPr>
        <w:t>not</w:t>
      </w:r>
      <w:r>
        <w:t xml:space="preserve"> establish regulatory thresholds for PFAS; instead, it </w:t>
      </w:r>
      <w:r w:rsidR="00041FFC">
        <w:t xml:space="preserve">only </w:t>
      </w:r>
      <w:r>
        <w:t>requires that the “</w:t>
      </w:r>
      <w:r w:rsidRPr="00097115">
        <w:t>sampling must be conducted in accordance with department rules adopted under s. 403.0855</w:t>
      </w:r>
      <w:r>
        <w:t xml:space="preserve">,” i.e. the </w:t>
      </w:r>
      <w:r w:rsidR="00041FFC">
        <w:t>FDEP’</w:t>
      </w:r>
      <w:r>
        <w:t xml:space="preserve">s Biosolids Rule 62-640, F.A.C. </w:t>
      </w:r>
      <w:r w:rsidR="00041FFC">
        <w:t>The FDEP Biosolids Rule</w:t>
      </w:r>
      <w:r>
        <w:t xml:space="preserve"> currently do</w:t>
      </w:r>
      <w:r w:rsidR="00041FFC">
        <w:t>es</w:t>
      </w:r>
      <w:r>
        <w:t xml:space="preserve"> not appear to address sampling for PFAS in bios</w:t>
      </w:r>
      <w:r w:rsidR="00CF2C11">
        <w:t>o</w:t>
      </w:r>
      <w:r>
        <w:t>lids</w:t>
      </w:r>
      <w:r w:rsidR="00CF2C11">
        <w:t>, which means that the Department would likely need to engage in rulemaking to establish sampling protocols.</w:t>
      </w:r>
    </w:p>
    <w:p w14:paraId="3EE779FF" w14:textId="7630060F" w:rsidR="00C201BE" w:rsidRDefault="00041FFC" w:rsidP="00097115">
      <w:r>
        <w:t xml:space="preserve">If you have any concerns regarding this legislation, please do not hesitate to contact David Childs at </w:t>
      </w:r>
      <w:hyperlink r:id="rId9" w:history="1">
        <w:r w:rsidRPr="00F231AE">
          <w:rPr>
            <w:rStyle w:val="Hyperlink"/>
          </w:rPr>
          <w:t>David@ballardpartners.com</w:t>
        </w:r>
      </w:hyperlink>
      <w:r>
        <w:t xml:space="preserve">. </w:t>
      </w:r>
    </w:p>
    <w:p w14:paraId="246996C3" w14:textId="77777777" w:rsidR="00C201BE" w:rsidRDefault="00C201BE"/>
    <w:sectPr w:rsidR="00C201BE" w:rsidSect="00041FF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1058C"/>
    <w:multiLevelType w:val="multilevel"/>
    <w:tmpl w:val="DD78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90518A"/>
    <w:multiLevelType w:val="hybridMultilevel"/>
    <w:tmpl w:val="A2DAE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34F1B"/>
    <w:multiLevelType w:val="multilevel"/>
    <w:tmpl w:val="FFBE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63144281">
    <w:abstractNumId w:val="2"/>
  </w:num>
  <w:num w:numId="2" w16cid:durableId="1982299813">
    <w:abstractNumId w:val="0"/>
  </w:num>
  <w:num w:numId="3" w16cid:durableId="686710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1BE"/>
    <w:rsid w:val="00041FFC"/>
    <w:rsid w:val="000603E3"/>
    <w:rsid w:val="00097115"/>
    <w:rsid w:val="00545218"/>
    <w:rsid w:val="00795CCE"/>
    <w:rsid w:val="008A1D1F"/>
    <w:rsid w:val="00C201BE"/>
    <w:rsid w:val="00CF2C11"/>
    <w:rsid w:val="00F2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8E6E5"/>
  <w15:chartTrackingRefBased/>
  <w15:docId w15:val="{D79F6E3F-59D5-447B-8C83-93D978D7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1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1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1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1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1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1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1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1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1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1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1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1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1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1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1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1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1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01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01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senate.gov/Session/Bill/2026/1230/BillText/Filed/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lsenate.gov/Session/Bill/2026/1019/BillText/Filed/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18587afe78e4cff31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avid@ballardpartn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1571</Characters>
  <Application>Microsoft Office Word</Application>
  <DocSecurity>4</DocSecurity>
  <Lines>33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Childs</dc:creator>
  <cp:keywords/>
  <dc:description/>
  <cp:lastModifiedBy>Wilson-Davis, Lisa</cp:lastModifiedBy>
  <cp:revision>2</cp:revision>
  <dcterms:created xsi:type="dcterms:W3CDTF">2026-01-07T17:03:00Z</dcterms:created>
  <dcterms:modified xsi:type="dcterms:W3CDTF">2026-01-07T17:03:00Z</dcterms:modified>
</cp:coreProperties>
</file>